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pPr w:leftFromText="142" w:rightFromText="142" w:vertAnchor="text" w:horzAnchor="margin" w:tblpY="5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986"/>
      </w:tblGrid>
      <w:tr w:rsidR="00130643" w14:paraId="67D7B92E" w14:textId="77777777" w:rsidTr="00130643">
        <w:tc>
          <w:tcPr>
            <w:tcW w:w="7508" w:type="dxa"/>
            <w:vAlign w:val="center"/>
          </w:tcPr>
          <w:p w14:paraId="52D0B88D" w14:textId="45D59E2F" w:rsidR="00130643" w:rsidRDefault="00130643" w:rsidP="00FB2BB3">
            <w:pPr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 w:hint="eastAsi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986" w:type="dxa"/>
            <w:vAlign w:val="center"/>
          </w:tcPr>
          <w:p w14:paraId="2C44D623" w14:textId="1F38A06A" w:rsidR="00130643" w:rsidRPr="00FD7EA4" w:rsidRDefault="00FD7EA4" w:rsidP="00FB2B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(12)</w:t>
            </w:r>
          </w:p>
        </w:tc>
      </w:tr>
    </w:tbl>
    <w:p w14:paraId="0894DD64" w14:textId="6528094C" w:rsidR="003B00BA" w:rsidRDefault="00130643" w:rsidP="00FB2BB3">
      <w:pPr>
        <w:jc w:val="both"/>
        <w:rPr>
          <w:rFonts w:ascii="ＭＳ 明朝" w:eastAsia="ＭＳ 明朝" w:hAnsi="Times New Roman" w:cs="ＭＳ 明朝"/>
          <w:color w:val="000000"/>
          <w:kern w:val="0"/>
          <w:sz w:val="22"/>
          <w:szCs w:val="22"/>
        </w:rPr>
      </w:pPr>
      <w:r w:rsidRPr="00130643">
        <w:rPr>
          <w:rFonts w:ascii="ＭＳ 明朝" w:eastAsia="ＭＳ 明朝" w:cs="ＭＳ 明朝" w:hint="eastAsia"/>
          <w:color w:val="000000"/>
          <w:kern w:val="0"/>
          <w:sz w:val="22"/>
          <w:szCs w:val="22"/>
        </w:rPr>
        <w:t>ある企業</w:t>
      </w:r>
      <w:proofErr w:type="spellStart"/>
      <w:r w:rsidRPr="00130643">
        <w:rPr>
          <w:rFonts w:ascii="Times New Roman" w:eastAsia="ＭＳ 明朝" w:hAnsi="Times New Roman" w:cs="Times New Roman"/>
          <w:i/>
          <w:iCs/>
          <w:color w:val="000000"/>
          <w:kern w:val="0"/>
          <w:sz w:val="22"/>
          <w:szCs w:val="22"/>
        </w:rPr>
        <w:t>i</w:t>
      </w:r>
      <w:proofErr w:type="spellEnd"/>
      <w:r w:rsidRPr="00130643"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の株式の期待収益率は</w:t>
      </w:r>
    </w:p>
    <w:p w14:paraId="40F6E3F9" w14:textId="109AE4F9" w:rsidR="00130643" w:rsidRPr="00130643" w:rsidRDefault="00130643" w:rsidP="00FB2BB3">
      <w:pPr>
        <w:jc w:val="both"/>
        <w:rPr>
          <w:sz w:val="22"/>
          <w:szCs w:val="22"/>
        </w:rPr>
      </w:pPr>
      <w:r w:rsidRPr="00130643">
        <w:rPr>
          <w:rFonts w:ascii="ＭＳ 明朝" w:eastAsia="ＭＳ 明朝" w:cs="ＭＳ 明朝" w:hint="eastAsia"/>
          <w:color w:val="000000"/>
          <w:kern w:val="0"/>
          <w:sz w:val="22"/>
          <w:szCs w:val="22"/>
        </w:rPr>
        <w:t>と書くことができる。ただし、</w:t>
      </w:r>
      <m:oMath>
        <m:sSub>
          <m:sSubPr>
            <m:ctrlPr>
              <w:rPr>
                <w:rFonts w:ascii="Cambria Math" w:eastAsia="ＭＳ 明朝" w:hAnsi="Cambria Math" w:cs="ＭＳ 明朝"/>
                <w:i/>
                <w:color w:val="000000"/>
                <w:kern w:val="0"/>
                <w:sz w:val="22"/>
                <w:szCs w:val="22"/>
              </w:rPr>
            </m:ctrlPr>
          </m:sSubPr>
          <m:e>
            <m:r>
              <w:rPr>
                <w:rFonts w:ascii="Cambria Math" w:eastAsia="ＭＳ 明朝" w:hAnsi="Cambria Math" w:cs="ＭＳ 明朝"/>
                <w:color w:val="000000"/>
                <w:kern w:val="0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ＭＳ 明朝" w:hAnsi="Cambria Math" w:cs="ＭＳ 明朝"/>
                <w:color w:val="000000"/>
                <w:kern w:val="0"/>
                <w:sz w:val="22"/>
                <w:szCs w:val="22"/>
              </w:rPr>
              <m:t>i</m:t>
            </m:r>
          </m:sub>
        </m:sSub>
      </m:oMath>
      <w:r w:rsidRPr="00130643"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と</w:t>
      </w:r>
      <m:oMath>
        <m:sSub>
          <m:sSubPr>
            <m:ctrlPr>
              <w:rPr>
                <w:rFonts w:ascii="Cambria Math" w:eastAsia="ＭＳ 明朝" w:hAnsi="Cambria Math" w:cs="ＭＳ 明朝"/>
                <w:i/>
                <w:color w:val="000000"/>
                <w:kern w:val="0"/>
                <w:sz w:val="22"/>
                <w:szCs w:val="22"/>
              </w:rPr>
            </m:ctrlPr>
          </m:sSubPr>
          <m:e>
            <m:r>
              <w:rPr>
                <w:rFonts w:ascii="Cambria Math" w:eastAsia="ＭＳ 明朝" w:hAnsi="Cambria Math" w:cs="ＭＳ 明朝"/>
                <w:color w:val="000000"/>
                <w:kern w:val="0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ＭＳ 明朝" w:hAnsi="Cambria Math" w:cs="ＭＳ 明朝"/>
                <w:color w:val="000000"/>
                <w:kern w:val="0"/>
                <w:sz w:val="22"/>
                <w:szCs w:val="22"/>
              </w:rPr>
              <m:t>m</m:t>
            </m:r>
          </m:sub>
        </m:sSub>
      </m:oMath>
      <w:r w:rsidRPr="00130643"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はそれぞれ企業</w:t>
      </w:r>
      <w:proofErr w:type="spellStart"/>
      <w:r w:rsidRPr="00130643">
        <w:rPr>
          <w:rFonts w:ascii="Times New Roman" w:eastAsia="ＭＳ 明朝" w:hAnsi="Times New Roman" w:cs="Times New Roman"/>
          <w:i/>
          <w:iCs/>
          <w:color w:val="000000"/>
          <w:kern w:val="0"/>
          <w:sz w:val="22"/>
          <w:szCs w:val="22"/>
        </w:rPr>
        <w:t>i</w:t>
      </w:r>
      <w:proofErr w:type="spellEnd"/>
      <w:r w:rsidRPr="00130643"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の株式と市場ポートフォリオの収益率、</w:t>
      </w:r>
      <m:oMath>
        <m:sSub>
          <m:sSubPr>
            <m:ctrlPr>
              <w:rPr>
                <w:rFonts w:ascii="Cambria Math" w:eastAsia="ＭＳ 明朝" w:hAnsi="Cambria Math" w:cs="ＭＳ 明朝"/>
                <w:i/>
                <w:color w:val="000000"/>
                <w:kern w:val="0"/>
                <w:sz w:val="22"/>
                <w:szCs w:val="22"/>
              </w:rPr>
            </m:ctrlPr>
          </m:sSubPr>
          <m:e>
            <m:r>
              <w:rPr>
                <w:rFonts w:ascii="Cambria Math" w:eastAsia="ＭＳ 明朝" w:hAnsi="Cambria Math" w:cs="ＭＳ 明朝"/>
                <w:color w:val="000000"/>
                <w:kern w:val="0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ＭＳ 明朝" w:hAnsi="Cambria Math" w:cs="ＭＳ 明朝"/>
                <w:color w:val="000000"/>
                <w:kern w:val="0"/>
                <w:sz w:val="22"/>
                <w:szCs w:val="22"/>
              </w:rPr>
              <m:t>f</m:t>
            </m:r>
          </m:sub>
        </m:sSub>
      </m:oMath>
      <w:r w:rsidRPr="00130643"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は安全資産の利子率、</w:t>
      </w:r>
      <m:oMath>
        <m:sSub>
          <m:sSubPr>
            <m:ctrlPr>
              <w:rPr>
                <w:rFonts w:ascii="Cambria Math" w:eastAsia="ＭＳ 明朝" w:hAnsi="Cambria Math" w:cs="ＭＳ 明朝"/>
                <w:i/>
                <w:color w:val="000000"/>
                <w:kern w:val="0"/>
                <w:sz w:val="22"/>
                <w:szCs w:val="22"/>
              </w:rPr>
            </m:ctrlPr>
          </m:sSubPr>
          <m:e>
            <m:r>
              <w:rPr>
                <w:rFonts w:ascii="Cambria Math" w:eastAsia="ＭＳ 明朝" w:hAnsi="Cambria Math" w:cs="ＭＳ 明朝"/>
                <w:color w:val="000000"/>
                <w:kern w:val="0"/>
                <w:sz w:val="22"/>
                <w:szCs w:val="22"/>
              </w:rPr>
              <m:t>β</m:t>
            </m:r>
          </m:e>
          <m:sub>
            <m:r>
              <w:rPr>
                <w:rFonts w:ascii="Cambria Math" w:eastAsia="ＭＳ 明朝" w:hAnsi="Cambria Math" w:cs="ＭＳ 明朝"/>
                <w:color w:val="000000"/>
                <w:kern w:val="0"/>
                <w:sz w:val="22"/>
                <w:szCs w:val="22"/>
              </w:rPr>
              <m:t>i</m:t>
            </m:r>
          </m:sub>
        </m:sSub>
      </m:oMath>
      <w:r w:rsidRPr="00130643"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は</w:t>
      </w:r>
      <w:r w:rsidRPr="00130643">
        <w:rPr>
          <w:rFonts w:ascii="Times New Roman" w:eastAsia="ＭＳ 明朝" w:hAnsi="Times New Roman" w:cs="Times New Roman"/>
          <w:color w:val="000000"/>
          <w:kern w:val="0"/>
          <w:sz w:val="22"/>
          <w:szCs w:val="22"/>
        </w:rPr>
        <w:t>CAPM</w:t>
      </w:r>
      <w:r w:rsidRPr="00130643"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のベータである。また、</w:t>
      </w:r>
      <m:oMath>
        <m:r>
          <w:rPr>
            <w:rFonts w:ascii="Cambria Math" w:eastAsia="ＭＳ 明朝" w:hAnsi="Cambria Math" w:cs="ＭＳ 明朝"/>
            <w:color w:val="000000"/>
            <w:kern w:val="0"/>
            <w:sz w:val="22"/>
            <w:szCs w:val="22"/>
          </w:rPr>
          <m:t>E[X]</m:t>
        </m:r>
      </m:oMath>
      <w:r w:rsidRPr="00130643"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は確率変数</w:t>
      </w:r>
      <w:r w:rsidRPr="00130643">
        <w:rPr>
          <w:rFonts w:ascii="Times New Roman" w:eastAsia="ＭＳ 明朝" w:hAnsi="Times New Roman" w:cs="Times New Roman"/>
          <w:i/>
          <w:iCs/>
          <w:color w:val="000000"/>
          <w:kern w:val="0"/>
          <w:sz w:val="22"/>
          <w:szCs w:val="22"/>
        </w:rPr>
        <w:t>X</w:t>
      </w:r>
      <w:r w:rsidRPr="00130643"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の期待値を表す。</w:t>
      </w:r>
      <w:r w:rsidRPr="00130643">
        <w:rPr>
          <w:rFonts w:ascii="Times New Roman" w:eastAsia="ＭＳ 明朝" w:hAnsi="Times New Roman" w:cs="Times New Roman"/>
          <w:color w:val="000000"/>
          <w:kern w:val="0"/>
          <w:sz w:val="22"/>
          <w:szCs w:val="22"/>
        </w:rPr>
        <w:t>(12)</w:t>
      </w:r>
      <w:r w:rsidRPr="00130643">
        <w:rPr>
          <w:rFonts w:ascii="ＭＳ 明朝" w:eastAsia="ＭＳ 明朝" w:hAnsi="Times New Roman" w:cs="ＭＳ 明朝" w:hint="eastAsia"/>
          <w:color w:val="000000"/>
          <w:kern w:val="0"/>
          <w:sz w:val="22"/>
          <w:szCs w:val="22"/>
        </w:rPr>
        <w:t>式によると、株式の期待収益率は…（後略）</w:t>
      </w:r>
    </w:p>
    <w:sectPr w:rsidR="00130643" w:rsidRPr="001306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BA"/>
    <w:rsid w:val="000046B8"/>
    <w:rsid w:val="00130643"/>
    <w:rsid w:val="0026100F"/>
    <w:rsid w:val="003B00BA"/>
    <w:rsid w:val="0041626C"/>
    <w:rsid w:val="00420515"/>
    <w:rsid w:val="004761F9"/>
    <w:rsid w:val="005A48BB"/>
    <w:rsid w:val="00910E4E"/>
    <w:rsid w:val="009401D3"/>
    <w:rsid w:val="00DD59FE"/>
    <w:rsid w:val="00F52F27"/>
    <w:rsid w:val="00FB2BB3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6BEA9"/>
  <w15:chartTrackingRefBased/>
  <w15:docId w15:val="{6993AB6A-5213-AB4D-963D-DEC99564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0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0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0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0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0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0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0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00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00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00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0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0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0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0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0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00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00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0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0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0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0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0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0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00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0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00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00BA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3B00BA"/>
    <w:rPr>
      <w:color w:val="666666"/>
    </w:rPr>
  </w:style>
  <w:style w:type="table" w:styleId="ab">
    <w:name w:val="Table Grid"/>
    <w:basedOn w:val="a1"/>
    <w:uiPriority w:val="39"/>
    <w:rsid w:val="003B0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山嵜　輝</dc:creator>
  <cp:keywords/>
  <dc:description/>
  <cp:lastModifiedBy>山嵜　輝</cp:lastModifiedBy>
  <cp:revision>13</cp:revision>
  <cp:lastPrinted>2025-10-30T10:47:00Z</cp:lastPrinted>
  <dcterms:created xsi:type="dcterms:W3CDTF">2025-10-30T10:24:00Z</dcterms:created>
  <dcterms:modified xsi:type="dcterms:W3CDTF">2025-10-30T15:36:00Z</dcterms:modified>
</cp:coreProperties>
</file>